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distribute"/>
        <w:rPr>
          <w:rFonts w:eastAsia="微软雅黑"/>
          <w:b/>
          <w:bCs/>
          <w:sz w:val="52"/>
          <w:szCs w:val="52"/>
        </w:rPr>
      </w:pPr>
      <w:r>
        <w:rPr>
          <w:rFonts w:eastAsia="微软雅黑"/>
          <w:b/>
          <w:bCs/>
          <w:sz w:val="52"/>
          <w:szCs w:val="52"/>
        </w:rPr>
        <w:t>中华人民共和国船舶技术法规</w:t>
      </w:r>
    </w:p>
    <w:p>
      <w:pPr>
        <w:jc w:val="right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MSA 20**年 第**号 公告</w:t>
      </w:r>
    </w:p>
    <w:p>
      <w:pPr>
        <w:jc w:val="center"/>
        <w:rPr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3175</wp:posOffset>
                </wp:positionV>
                <wp:extent cx="5400040" cy="635"/>
                <wp:effectExtent l="0" t="9525" r="10160" b="127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85pt;margin-top:0.25pt;height:0.05pt;width:425.2pt;z-index:251659264;mso-width-relative:page;mso-height-relative:page;" filled="f" stroked="t" coordsize="21600,21600" o:gfxdata="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B2ow/SAAAABAEAAA8AAAAAAAAAAQAgAAAAIgAAAGRy&#10;cy9kb3ducmV2LnhtbFBLAQIUABQAAAAIAIdO4kCkvQW+0gEAAG8DAAAOAAAAAAAAAAEAIAAAACEB&#10;AABkcnMvZTJvRG9jLnhtbFBLBQYAAAAABgAGAFkBAABl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szCs w:val="32"/>
        </w:rPr>
      </w:pPr>
    </w:p>
    <w:p>
      <w:pPr>
        <w:jc w:val="center"/>
        <w:rPr>
          <w:rFonts w:eastAsia="楷体_GB2312"/>
          <w:sz w:val="36"/>
          <w:szCs w:val="36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-182880</wp:posOffset>
            </wp:positionH>
            <wp:positionV relativeFrom="margin">
              <wp:posOffset>1669415</wp:posOffset>
            </wp:positionV>
            <wp:extent cx="5731510" cy="5525770"/>
            <wp:effectExtent l="0" t="0" r="13970" b="6350"/>
            <wp:wrapNone/>
            <wp:docPr id="1" name="图片 1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2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eastAsia="楷体_GB2312"/>
          <w:sz w:val="36"/>
          <w:szCs w:val="36"/>
        </w:rPr>
      </w:pPr>
    </w:p>
    <w:p>
      <w:pPr>
        <w:spacing w:line="360" w:lineRule="auto"/>
        <w:rPr>
          <w:rFonts w:eastAsia="黑体"/>
          <w:b/>
          <w:sz w:val="32"/>
          <w:szCs w:val="32"/>
        </w:rPr>
      </w:pPr>
    </w:p>
    <w:p>
      <w:pPr>
        <w:spacing w:line="360" w:lineRule="auto"/>
        <w:jc w:val="center"/>
        <w:rPr>
          <w:rFonts w:hint="eastAsia" w:eastAsia="黑体"/>
          <w:b/>
          <w:sz w:val="52"/>
          <w:szCs w:val="52"/>
          <w:lang w:eastAsia="zh-CN"/>
        </w:rPr>
      </w:pPr>
    </w:p>
    <w:p>
      <w:pPr>
        <w:spacing w:line="360" w:lineRule="auto"/>
        <w:jc w:val="center"/>
        <w:rPr>
          <w:rFonts w:hint="eastAsia" w:eastAsia="黑体"/>
          <w:b/>
          <w:sz w:val="52"/>
          <w:szCs w:val="52"/>
          <w:lang w:eastAsia="zh-CN"/>
        </w:rPr>
      </w:pPr>
    </w:p>
    <w:p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  <w:lang w:eastAsia="zh-CN"/>
        </w:rPr>
        <w:t>国际航行海船法定检验技术</w:t>
      </w:r>
      <w:r>
        <w:rPr>
          <w:rFonts w:eastAsia="黑体"/>
          <w:b/>
          <w:sz w:val="52"/>
          <w:szCs w:val="52"/>
        </w:rPr>
        <w:t>规则</w:t>
      </w:r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rFonts w:hint="eastAsia"/>
          <w:b/>
          <w:sz w:val="36"/>
          <w:szCs w:val="36"/>
          <w:lang w:val="en-US" w:eastAsia="zh-CN"/>
        </w:rPr>
      </w:pPr>
      <w:r>
        <w:rPr>
          <w:b/>
          <w:sz w:val="36"/>
          <w:szCs w:val="36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22年修改通报</w:t>
      </w:r>
    </w:p>
    <w:p>
      <w:pPr>
        <w:spacing w:line="360" w:lineRule="auto"/>
        <w:jc w:val="center"/>
        <w:rPr>
          <w:rFonts w:hint="default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（征求意见稿）</w:t>
      </w:r>
      <w:bookmarkStart w:id="2" w:name="_GoBack"/>
      <w:bookmarkEnd w:id="2"/>
    </w:p>
    <w:p>
      <w:pPr>
        <w:jc w:val="center"/>
        <w:rPr>
          <w:rFonts w:hint="eastAsia"/>
          <w:sz w:val="36"/>
          <w:szCs w:val="36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rPr>
          <w:color w:val="000000"/>
          <w:sz w:val="24"/>
          <w:szCs w:val="24"/>
          <w:u w:val="single"/>
        </w:rPr>
      </w:pPr>
    </w:p>
    <w:p>
      <w:pPr>
        <w:rPr>
          <w:color w:val="000000"/>
          <w:sz w:val="24"/>
          <w:szCs w:val="24"/>
          <w:u w:val="single"/>
        </w:rPr>
      </w:pPr>
    </w:p>
    <w:p>
      <w:pPr>
        <w:rPr>
          <w:color w:val="000000"/>
          <w:sz w:val="24"/>
          <w:szCs w:val="24"/>
          <w:u w:val="single"/>
        </w:rPr>
        <w:sectPr>
          <w:headerReference r:id="rId3" w:type="default"/>
          <w:footerReference r:id="rId4" w:type="default"/>
          <w:footnotePr>
            <w:numRestart w:val="eachPage"/>
          </w:footnotePr>
          <w:pgSz w:w="11907" w:h="16840"/>
          <w:pgMar w:top="1474" w:right="1400" w:bottom="1361" w:left="1559" w:header="851" w:footer="992" w:gutter="284"/>
          <w:pgNumType w:fmt="decimal"/>
          <w:cols w:space="720" w:num="1"/>
          <w:docGrid w:type="linesAndChars" w:linePitch="312" w:charSpace="-3482"/>
        </w:sectPr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231140</wp:posOffset>
                </wp:positionV>
                <wp:extent cx="5713730" cy="1243330"/>
                <wp:effectExtent l="0" t="0" r="1270" b="635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3730" cy="1243330"/>
                          <a:chOff x="0" y="0"/>
                          <a:chExt cx="8998" cy="1958"/>
                        </a:xfrm>
                        <a:effectLst/>
                      </wpg:grpSpPr>
                      <wps:wsp>
                        <wps:cNvPr id="10" name="直线 24"/>
                        <wps:cNvCnPr>
                          <a:cxnSpLocks noChangeShapeType="1"/>
                        </wps:cNvCnPr>
                        <wps:spPr bwMode="auto">
                          <a:xfrm>
                            <a:off x="87" y="777"/>
                            <a:ext cx="8504" cy="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" name="矩形 2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31" cy="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sz w:val="24"/>
                                </w:rPr>
                                <w:t>20**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sz w:val="24"/>
                                </w:rPr>
                                <w:t>年*月*日公布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矩形 26"/>
                        <wps:cNvSpPr>
                          <a:spLocks noChangeArrowheads="1"/>
                        </wps:cNvSpPr>
                        <wps:spPr bwMode="auto">
                          <a:xfrm>
                            <a:off x="5960" y="1"/>
                            <a:ext cx="3038" cy="7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eastAsia="微软雅黑"/>
                                  <w:b/>
                                  <w:bCs/>
                                  <w:sz w:val="24"/>
                                </w:rPr>
                                <w:t>20**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sz w:val="24"/>
                                </w:rPr>
                                <w:t>年*月*日起施行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矩形 27"/>
                        <wps:cNvSpPr>
                          <a:spLocks noChangeArrowheads="1"/>
                        </wps:cNvSpPr>
                        <wps:spPr bwMode="auto">
                          <a:xfrm>
                            <a:off x="333" y="870"/>
                            <a:ext cx="8091" cy="1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sz w:val="28"/>
                                  <w:szCs w:val="28"/>
                                </w:rPr>
                                <w:t xml:space="preserve">经中华人民共和国交通运输部批准 </w:t>
                              </w:r>
                            </w:p>
                            <w:p>
                              <w:pPr>
                                <w:spacing w:line="400" w:lineRule="exact"/>
                                <w:jc w:val="center"/>
                                <w:rPr>
                                  <w:rFonts w:ascii="微软雅黑" w:hAnsi="微软雅黑" w:eastAsia="微软雅黑" w:cs="微软雅黑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sz w:val="28"/>
                                  <w:szCs w:val="28"/>
                                </w:rPr>
                                <w:t>中华人民共和国海事局公布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矩形 28"/>
                        <wps:cNvSpPr>
                          <a:spLocks noChangeArrowheads="1"/>
                        </wps:cNvSpPr>
                        <wps:spPr bwMode="auto">
                          <a:xfrm>
                            <a:off x="264" y="904"/>
                            <a:ext cx="1445" cy="10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drawing>
                                  <wp:inline distT="0" distB="0" distL="114300" distR="114300">
                                    <wp:extent cx="572770" cy="558800"/>
                                    <wp:effectExtent l="0" t="0" r="6350" b="5080"/>
                                    <wp:docPr id="2" name="图片 1" descr="C:\Users\Administrator\Desktop\局徽（标准）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图片 1" descr="C:\Users\Administrator\Desktop\局徽（标准）.jpg"/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72770" cy="5588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75pt;margin-top:18.2pt;height:97.9pt;width:449.9pt;z-index:251660288;mso-width-relative:page;mso-height-relative:page;" coordsize="8998,1958" o:gfxdata="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BPsVLw2wAAAAoBAAAPAAAA&#10;AAAAAAEAIAAAACIAAABkcnMvZG93bnJldi54bWxQSwECFAAUAAAACACHTuJA+5mLBmgDAAAeDgAA&#10;DgAAAAAAAAABACAAAAAqAQAAZHJzL2Uyb0RvYy54bWxQSwUGAAAAAAYABgBZAQAABAcAAAAA&#10;">
                <o:lock v:ext="edit" grouping="f" rotation="f" aspectratio="f"/>
                <v:line id="直线 24" o:spid="_x0000_s1026" o:spt="20" style="position:absolute;left:87;top:777;height:1;width:8504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Ru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/08osMoFe/AAAA//8DAFBLAQItABQABgAIAAAAIQDb4fbL7gAAAIUBAAATAAAAAAAAAAAA&#10;AAAAAAAAAABbQ29udGVudF9UeXBlc10ueG1sUEsBAi0AFAAGAAgAAAAhAFr0LFu/AAAAFQEAAAsA&#10;AAAAAAAAAAAAAAAAHwEAAF9yZWxzLy5yZWxzUEsBAi0AFAAGAAgAAAAhAA4lFG7EAAAA2wAAAA8A&#10;AAAAAAAAAAAAAAAABwIAAGRycy9kb3ducmV2LnhtbFBLBQYAAAAAAwADALcAAAD4Ag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rect id="矩形 25" o:spid="_x0000_s1026" o:spt="1" style="position:absolute;left:0;top:0;height:714;width:2631;" fillcolor="#FFFFFF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sz w:val="24"/>
                          </w:rPr>
                          <w:t>20**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sz w:val="24"/>
                          </w:rPr>
                          <w:t>年*月*日公布</w:t>
                        </w:r>
                      </w:p>
                    </w:txbxContent>
                  </v:textbox>
                </v:rect>
                <v:rect id="矩形 26" o:spid="_x0000_s1026" o:spt="1" style="position:absolute;left:5960;top:1;height:753;width:3038;" fillcolor="#FFFFFF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eastAsia="微软雅黑"/>
                            <w:b/>
                            <w:bCs/>
                            <w:sz w:val="24"/>
                          </w:rPr>
                          <w:t>20**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sz w:val="24"/>
                          </w:rPr>
                          <w:t>年*月*日起施行</w:t>
                        </w:r>
                      </w:p>
                    </w:txbxContent>
                  </v:textbox>
                </v:rect>
                <v:rect id="矩形 27" o:spid="_x0000_s1026" o:spt="1" style="position:absolute;left:333;top:870;height:1059;width:8091;" fillcolor="#FFFFFF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400" w:lineRule="exact"/>
                          <w:jc w:val="center"/>
                          <w:rPr>
                            <w:rFonts w:ascii="微软雅黑" w:hAnsi="微软雅黑" w:eastAsia="微软雅黑" w:cs="微软雅黑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sz w:val="28"/>
                            <w:szCs w:val="28"/>
                          </w:rPr>
                          <w:t xml:space="preserve">经中华人民共和国交通运输部批准 </w:t>
                        </w:r>
                      </w:p>
                      <w:p>
                        <w:pPr>
                          <w:spacing w:line="400" w:lineRule="exact"/>
                          <w:jc w:val="center"/>
                          <w:rPr>
                            <w:rFonts w:ascii="微软雅黑" w:hAnsi="微软雅黑" w:eastAsia="微软雅黑" w:cs="微软雅黑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sz w:val="28"/>
                            <w:szCs w:val="28"/>
                          </w:rPr>
                          <w:t>中华人民共和国海事局公布</w:t>
                        </w:r>
                      </w:p>
                    </w:txbxContent>
                  </v:textbox>
                </v:rect>
                <v:rect id="矩形 28" o:spid="_x0000_s1026" o:spt="1" style="position:absolute;left:264;top:904;height:1054;width:1445;" fillcolor="#FFFFFF" filled="t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drawing>
                            <wp:inline distT="0" distB="0" distL="114300" distR="114300">
                              <wp:extent cx="572770" cy="558800"/>
                              <wp:effectExtent l="0" t="0" r="6350" b="5080"/>
                              <wp:docPr id="2" name="图片 1" descr="C:\Users\Administrator\Desktop\局徽（标准）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1" descr="C:\Users\Administrator\Desktop\局徽（标准）.jp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72770" cy="558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2"/>
        <w:ind w:firstLine="361" w:firstLineChars="10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总 目 录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第1篇 检验与发证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第2篇 吨位丈量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第3篇 载重线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第4篇 船舶安全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第5篇 船舶防污染、能效及压载水管理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第6篇 船员舱室设备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第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b/>
          <w:sz w:val="30"/>
          <w:szCs w:val="30"/>
        </w:rPr>
        <w:t xml:space="preserve">篇 </w:t>
      </w: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乘客定额与舱室设备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第9篇 </w:t>
      </w:r>
      <w:r>
        <w:rPr>
          <w:rFonts w:hint="eastAsia" w:ascii="Times New Roman" w:hAnsi="Times New Roman" w:cs="宋体"/>
          <w:b/>
          <w:bCs/>
          <w:sz w:val="30"/>
          <w:szCs w:val="30"/>
        </w:rPr>
        <w:t>国际航行非公约船舶法定检验技术规则</w:t>
      </w:r>
    </w:p>
    <w:p>
      <w:pPr>
        <w:pStyle w:val="2"/>
        <w:ind w:firstLine="301" w:firstLineChars="1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附则</w:t>
      </w:r>
    </w:p>
    <w:p>
      <w:pPr>
        <w:pStyle w:val="2"/>
        <w:ind w:firstLine="300" w:firstLineChars="100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附则2  2000年国际高速船安全规则</w:t>
      </w:r>
    </w:p>
    <w:p>
      <w:pPr>
        <w:pStyle w:val="2"/>
        <w:ind w:firstLine="600" w:firstLineChars="200"/>
        <w:rPr>
          <w:sz w:val="30"/>
          <w:szCs w:val="30"/>
        </w:rPr>
      </w:pPr>
      <w:bookmarkStart w:id="0" w:name="_Toc521425302"/>
      <w:r>
        <w:rPr>
          <w:rFonts w:hint="eastAsia"/>
          <w:sz w:val="30"/>
          <w:szCs w:val="30"/>
        </w:rPr>
        <w:t>附则3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2008年国际完整稳性规则</w:t>
      </w:r>
      <w:bookmarkEnd w:id="0"/>
    </w:p>
    <w:p>
      <w:pPr>
        <w:pStyle w:val="2"/>
        <w:ind w:firstLine="600" w:firstLineChars="200"/>
        <w:rPr>
          <w:sz w:val="30"/>
          <w:szCs w:val="30"/>
        </w:rPr>
      </w:pPr>
      <w:bookmarkStart w:id="1" w:name="_Toc521425611"/>
      <w:r>
        <w:rPr>
          <w:rFonts w:hint="eastAsia"/>
          <w:sz w:val="30"/>
          <w:szCs w:val="30"/>
        </w:rPr>
        <w:t>附则4  特种用途船舶安全规则</w:t>
      </w:r>
      <w:bookmarkEnd w:id="1"/>
    </w:p>
    <w:p>
      <w:pPr>
        <w:pStyle w:val="2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附则５　国际散装运输危险化学品船舶构造和设备规则</w:t>
      </w:r>
    </w:p>
    <w:p>
      <w:pPr>
        <w:pStyle w:val="2"/>
        <w:ind w:firstLine="600" w:firstLineChars="2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附则6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国际散装运输液化气体船舶构造和设备规则</w:t>
      </w:r>
    </w:p>
    <w:p>
      <w:pPr>
        <w:pStyle w:val="2"/>
        <w:ind w:firstLine="600" w:firstLineChars="200"/>
        <w:rPr>
          <w:rFonts w:hint="eastAsia" w:hAnsi="Courier New" w:cs="Courier New"/>
          <w:sz w:val="30"/>
          <w:szCs w:val="30"/>
        </w:rPr>
      </w:pPr>
      <w:r>
        <w:rPr>
          <w:rFonts w:hint="eastAsia" w:hAnsi="Courier New" w:cs="Courier New"/>
          <w:sz w:val="30"/>
          <w:szCs w:val="30"/>
        </w:rPr>
        <w:t>附则7  散装运输危险化学品船舶构造和设备规则</w:t>
      </w:r>
    </w:p>
    <w:p>
      <w:pPr>
        <w:pStyle w:val="2"/>
        <w:ind w:firstLine="600" w:firstLineChars="200"/>
        <w:rPr>
          <w:rFonts w:hint="eastAsia" w:hAnsi="Courier New" w:cs="Courier New"/>
          <w:sz w:val="30"/>
          <w:szCs w:val="30"/>
        </w:rPr>
      </w:pPr>
      <w:r>
        <w:rPr>
          <w:rFonts w:hint="eastAsia" w:hAnsi="Courier New" w:cs="Courier New"/>
          <w:sz w:val="30"/>
          <w:szCs w:val="30"/>
          <w:lang w:eastAsia="zh-CN"/>
        </w:rPr>
        <w:t>附则9  2006年近海供应船设计与建造指南</w:t>
      </w:r>
    </w:p>
    <w:p>
      <w:pPr>
        <w:pStyle w:val="2"/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附则11  1994年国际高速船安全规则</w:t>
      </w:r>
    </w:p>
    <w:p>
      <w:pPr>
        <w:pStyle w:val="2"/>
        <w:ind w:left="1796" w:leftChars="284" w:hanging="1200" w:hangingChars="400"/>
        <w:rPr>
          <w:sz w:val="30"/>
          <w:szCs w:val="30"/>
        </w:rPr>
      </w:pPr>
      <w:r>
        <w:rPr>
          <w:rFonts w:hint="eastAsia"/>
          <w:sz w:val="30"/>
          <w:szCs w:val="30"/>
        </w:rPr>
        <w:t>附则14</w:t>
      </w:r>
      <w:r>
        <w:rPr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使用气体或其他低闪点燃料船舶国际安全规则（IGF规则）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aqKiq4BAABLAwAADgAAAGRycy9lMm9Eb2MueG1srVPNThsxEL5X4h0s&#10;34mXI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RqoqK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2710815</wp:posOffset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3.45pt;margin-top:0pt;height:10.35pt;width:9.05pt;mso-position-horizontal-relative:margin;mso-wrap-style:none;z-index:251658240;mso-width-relative:page;mso-height-relative:page;" filled="f" stroked="f" coordsize="21600,21600" o:gfxdata="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SzUyPUAAAABwEAAA8AAAAAAAAAAQAgAAAAIgAAAGRycy9kb3ducmV2LnhtbFBLAQIUABQA&#10;AAAIAIdO4kAMFp3x9AEAAMQDAAAOAAAAAAAAAAEAIAAAACMBAABkcnMvZTJvRG9jLnhtbFBLBQYA&#10;AAAABgAGAFkBAACJ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027"/>
    <w:rsid w:val="0007460D"/>
    <w:rsid w:val="000B1820"/>
    <w:rsid w:val="000C7EFF"/>
    <w:rsid w:val="000F0156"/>
    <w:rsid w:val="00107F3D"/>
    <w:rsid w:val="00431DD2"/>
    <w:rsid w:val="004857F9"/>
    <w:rsid w:val="005C74F5"/>
    <w:rsid w:val="006A5FF1"/>
    <w:rsid w:val="006B7FD8"/>
    <w:rsid w:val="007D2885"/>
    <w:rsid w:val="007F12CC"/>
    <w:rsid w:val="008914F2"/>
    <w:rsid w:val="009C3839"/>
    <w:rsid w:val="009F07DF"/>
    <w:rsid w:val="00AA28E4"/>
    <w:rsid w:val="00B21027"/>
    <w:rsid w:val="00B30F35"/>
    <w:rsid w:val="00B810EF"/>
    <w:rsid w:val="00BC48F3"/>
    <w:rsid w:val="00C519C1"/>
    <w:rsid w:val="00CB532F"/>
    <w:rsid w:val="00DD0EB0"/>
    <w:rsid w:val="00E21AFF"/>
    <w:rsid w:val="00EE361C"/>
    <w:rsid w:val="00F46AAC"/>
    <w:rsid w:val="00F51D3D"/>
    <w:rsid w:val="00F8783D"/>
    <w:rsid w:val="01326028"/>
    <w:rsid w:val="0FDF5F1B"/>
    <w:rsid w:val="10BD5C94"/>
    <w:rsid w:val="148D0556"/>
    <w:rsid w:val="16A1488B"/>
    <w:rsid w:val="19CC65FD"/>
    <w:rsid w:val="20A25A3C"/>
    <w:rsid w:val="217B143E"/>
    <w:rsid w:val="2A23008F"/>
    <w:rsid w:val="2BC12A6E"/>
    <w:rsid w:val="312243E6"/>
    <w:rsid w:val="341E0ED2"/>
    <w:rsid w:val="3CA10708"/>
    <w:rsid w:val="3CB64EF4"/>
    <w:rsid w:val="40AF7AB5"/>
    <w:rsid w:val="41725ACA"/>
    <w:rsid w:val="46E06413"/>
    <w:rsid w:val="493E790C"/>
    <w:rsid w:val="55C82F0B"/>
    <w:rsid w:val="67D10B09"/>
    <w:rsid w:val="7C42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uiPriority w:val="39"/>
    <w:pPr>
      <w:tabs>
        <w:tab w:val="left" w:leader="middleDot" w:pos="8301"/>
      </w:tabs>
      <w:spacing w:before="120" w:after="120"/>
      <w:jc w:val="center"/>
    </w:pPr>
    <w:rPr>
      <w:b/>
      <w:sz w:val="28"/>
    </w:rPr>
  </w:style>
  <w:style w:type="paragraph" w:styleId="6">
    <w:name w:val="footnote text"/>
    <w:basedOn w:val="1"/>
    <w:link w:val="1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toc 2"/>
    <w:basedOn w:val="1"/>
    <w:next w:val="1"/>
    <w:unhideWhenUsed/>
    <w:qFormat/>
    <w:uiPriority w:val="39"/>
    <w:pPr>
      <w:tabs>
        <w:tab w:val="right" w:leader="middleDot" w:pos="8315"/>
      </w:tabs>
      <w:ind w:left="420" w:leftChars="200"/>
    </w:pPr>
    <w:rPr>
      <w:b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脚注文本 Char"/>
    <w:basedOn w:val="10"/>
    <w:link w:val="6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2">
    <w:name w:val="纯文本 Char"/>
    <w:basedOn w:val="10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3">
    <w:name w:val="页眉 Char"/>
    <w:basedOn w:val="10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页脚 Char"/>
    <w:basedOn w:val="10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357</Characters>
  <Lines>2</Lines>
  <Paragraphs>1</Paragraphs>
  <TotalTime>4</TotalTime>
  <ScaleCrop>false</ScaleCrop>
  <LinksUpToDate>false</LinksUpToDate>
  <CharactersWithSpaces>418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2019-01-15T08:45:00Z</dcterms:created>
  <dc:creator>王方园</dc:creator>
  <cp:lastModifiedBy>Bichun</cp:lastModifiedBy>
  <dcterms:modified xsi:type="dcterms:W3CDTF">2022-07-01T09:03:38Z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